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9" w:rsidRPr="009E05E7" w:rsidRDefault="008878DE" w:rsidP="002B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FAD8F4" wp14:editId="0561F511">
            <wp:simplePos x="0" y="0"/>
            <wp:positionH relativeFrom="column">
              <wp:posOffset>2978342</wp:posOffset>
            </wp:positionH>
            <wp:positionV relativeFrom="paragraph">
              <wp:posOffset>-33451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8" w:tgtFrame="_blank" w:tooltip="Напечатать" w:history="1">
        <w:r w:rsidR="009E05E7" w:rsidRPr="009E05E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DF30BD" w:rsidRPr="00DF30BD" w:rsidRDefault="00DF30BD" w:rsidP="00DF30BD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5292" wp14:editId="67EC6F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223" wp14:editId="3F64859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FA4F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08.09.2016г.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№  </w:t>
      </w:r>
      <w:r w:rsidR="00FA4F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431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пассажирского авто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Большемурашкинского муниципального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7-2020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A61719" w:rsidP="00A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(с     изменениями</w:t>
      </w:r>
      <w:r w:rsidR="00C25465">
        <w:rPr>
          <w:rFonts w:ascii="Times New Roman" w:hAnsi="Times New Roman" w:cs="Times New Roman"/>
          <w:sz w:val="28"/>
          <w:szCs w:val="28"/>
        </w:rPr>
        <w:t xml:space="preserve"> от 11.08.2014г. № 596, от 19.12.2014г. № 974, от 29.12.2015г. № 647, от 17.08.2016г. № 397), </w:t>
      </w:r>
      <w:r w:rsidRPr="00FD24F3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24F3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4F3">
        <w:rPr>
          <w:rFonts w:ascii="Times New Roman" w:hAnsi="Times New Roman" w:cs="Times New Roman"/>
          <w:sz w:val="28"/>
          <w:szCs w:val="28"/>
        </w:rPr>
        <w:t xml:space="preserve">   муниципального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4F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е т</w:t>
      </w:r>
      <w:r w:rsidRPr="009E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пассажирского автотранспорта на территории Большемурашкинского муниципального района» на 2017 – 2020 годы (далее 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управлению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формировании проекта районного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последующие годы предусматривать средства на реализацию данной Программы с уточнением объемов ее финансирования, исходя из возможностей местного бюджета.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Start w:id="1" w:name="Par38"/>
      <w:bookmarkStart w:id="2" w:name="Par40"/>
      <w:bookmarkEnd w:id="0"/>
      <w:bookmarkEnd w:id="1"/>
      <w:bookmarkEnd w:id="2"/>
      <w:r w:rsidRPr="00FC6E6F">
        <w:rPr>
          <w:rFonts w:ascii="Times New Roman" w:hAnsi="Times New Roman" w:cs="Times New Roman"/>
          <w:sz w:val="28"/>
          <w:szCs w:val="28"/>
        </w:rPr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A61719" w:rsidRDefault="00FA4F0A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 от   08.09.2016г. № 431</w:t>
      </w:r>
    </w:p>
    <w:p w:rsidR="00A61719" w:rsidRPr="00FB32D1" w:rsidRDefault="00A61719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1719" w:rsidRDefault="00A61719" w:rsidP="00A61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A61719" w:rsidRPr="00FD24F3" w:rsidRDefault="00A61719" w:rsidP="00A617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пассажирского автотранспорта на территории Большемурашкинского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 (далее – Программа)</w:t>
      </w:r>
    </w:p>
    <w:p w:rsidR="00A61719" w:rsidRPr="00CD3159" w:rsidRDefault="00A61719" w:rsidP="00A617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206"/>
      </w:tblGrid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</w:tc>
      </w:tr>
      <w:tr w:rsidR="00A61719" w:rsidRPr="009E05E7" w:rsidTr="002153A0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F677AC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2F274D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A64EA6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утвержденным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анализ выполненных регулярных перевозок по муниципальным маршрутам.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A61719" w:rsidRPr="009E05E7" w:rsidTr="002153A0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за счет средств районного бюджета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достижения цели и показатели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непосредственных результатов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2020 года будут достигнуты следующие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 и непосредственные результаты Программы: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в общей численности населения района;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количества имеющегося подвижного состава, выходящего на линию;</w:t>
            </w:r>
          </w:p>
        </w:tc>
      </w:tr>
    </w:tbl>
    <w:p w:rsidR="00A61719" w:rsidRPr="00CD315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01"/>
      <w:bookmarkStart w:id="4" w:name="Par203"/>
      <w:bookmarkEnd w:id="3"/>
      <w:bookmarkEnd w:id="4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Текстовая часть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05"/>
      <w:bookmarkEnd w:id="5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полномочиями муниципального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Устойчивое и эффективное функционирование данного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Большемурашкинского муниципального района функционирует пассажирское предприятие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население рабочего посёлка Большое 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Мурашкино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населённых пунктов.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района.</w:t>
      </w:r>
    </w:p>
    <w:p w:rsidR="00A61719" w:rsidRPr="00AF094A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автобусов, из которых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Автобусы получены по областной целевой программе на условиях лизинга при 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районного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автобуса имеют износ более 50 %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1719" w:rsidRPr="00E9475E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должном уровне. Обусловлена эта проблема, прежде всего,  недостаточным пассажиропотоком и, как следствие, убыточностью  пассажирских перевозок. Поэтому была принята вынужденная мера сокращения количества выполняемых рейсов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 автобусным маршрутам.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предприятие обслуживает 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междугородных и 7 пригородных маршрутов.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протяжённость маршрутов составляет 600,4 км, в том числе пригородной маршрутной сети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143,7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является убыточным в связи со снижением пассажиропотока, в результате чего наполняемость маршрутов пригородного сообщения составляет в среднем </w:t>
      </w:r>
      <w:r w:rsidRPr="00AF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рейс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25,7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вместимости подвижного состава.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возникающих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E20393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района» на 2017 – 2020 годы.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6" w:name="Par22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A61719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7" w:name="Par237"/>
      <w:bookmarkEnd w:id="7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Pr="0097318C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A61719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перевозок по муниципальным маршрутам.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8" w:name="Par242"/>
      <w:bookmarkStart w:id="9" w:name="Par467"/>
      <w:bookmarkEnd w:id="8"/>
      <w:bookmarkEnd w:id="9"/>
    </w:p>
    <w:p w:rsidR="00A61719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A61719" w:rsidRPr="009E05E7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МУП «</w:t>
      </w:r>
      <w:proofErr w:type="spellStart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ольшем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урашкинское</w:t>
      </w:r>
      <w:proofErr w:type="spellEnd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ПАП», в общей численности населения района;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существующ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одновременным обеспечением круглогодичной транспортной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8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сохранение доли выполнения пассажирских рейсов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количества имеющегося подвижного состава, выходящего на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72"/>
      <w:bookmarkEnd w:id="10"/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505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25"/>
        <w:gridCol w:w="728"/>
        <w:gridCol w:w="49"/>
        <w:gridCol w:w="1510"/>
        <w:gridCol w:w="1390"/>
        <w:gridCol w:w="28"/>
        <w:gridCol w:w="1276"/>
        <w:gridCol w:w="1148"/>
      </w:tblGrid>
      <w:tr w:rsidR="00A61719" w:rsidRPr="009E05E7" w:rsidTr="002153A0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3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результата</w:t>
            </w:r>
          </w:p>
        </w:tc>
      </w:tr>
      <w:tr w:rsidR="00A61719" w:rsidRPr="009E05E7" w:rsidTr="002153A0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61719" w:rsidRPr="009E05E7" w:rsidTr="002153A0">
        <w:tc>
          <w:tcPr>
            <w:tcW w:w="10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486"/>
            <w:bookmarkEnd w:id="11"/>
          </w:p>
        </w:tc>
      </w:tr>
      <w:tr w:rsidR="00A61719" w:rsidRPr="009E05E7" w:rsidTr="002153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«Б-</w:t>
            </w:r>
            <w:proofErr w:type="spellStart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Мурашкинское</w:t>
            </w:r>
            <w:proofErr w:type="spellEnd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ПАП»,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61719" w:rsidRPr="009E05E7" w:rsidTr="002153A0">
        <w:trPr>
          <w:trHeight w:val="19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1719" w:rsidRPr="009E05E7" w:rsidTr="002153A0">
        <w:trPr>
          <w:trHeight w:val="9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719" w:rsidRPr="009E05E7" w:rsidTr="002153A0">
        <w:trPr>
          <w:trHeight w:val="12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-сохранение количества имеющегося подвижного состава, выходящего на линию.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40360B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710"/>
      <w:bookmarkEnd w:id="12"/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A61719" w:rsidRPr="009E05E7" w:rsidRDefault="00A61719" w:rsidP="00A617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984"/>
        <w:gridCol w:w="787"/>
        <w:gridCol w:w="772"/>
        <w:gridCol w:w="709"/>
        <w:gridCol w:w="851"/>
        <w:gridCol w:w="850"/>
      </w:tblGrid>
      <w:tr w:rsidR="00A61719" w:rsidRPr="009E05E7" w:rsidTr="002153A0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61719" w:rsidRPr="009E05E7" w:rsidTr="002153A0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61719" w:rsidRPr="009E05E7" w:rsidTr="002153A0">
        <w:trPr>
          <w:trHeight w:val="40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1719" w:rsidRPr="009E05E7" w:rsidTr="002153A0">
        <w:trPr>
          <w:cantSplit/>
          <w:trHeight w:val="525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</w:tbl>
    <w:p w:rsidR="00A61719" w:rsidRPr="009E05E7" w:rsidRDefault="00A61719" w:rsidP="00A6171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других источников не планируется.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автотранспорта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61719" w:rsidRPr="009E05E7" w:rsidRDefault="00A61719" w:rsidP="00FA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A61719" w:rsidRPr="00FD24F3" w:rsidRDefault="00A61719" w:rsidP="00FA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внебюджетного финансирования.</w:t>
      </w:r>
    </w:p>
    <w:p w:rsidR="00A61719" w:rsidRPr="009E05E7" w:rsidRDefault="00A61719" w:rsidP="00F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A61719" w:rsidRPr="009E05E7" w:rsidRDefault="00A61719" w:rsidP="00FA4F0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отдельных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Программы. 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A61719" w:rsidSect="00A617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1719" w:rsidRPr="009E05E7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Пожалуйста, подождите</w:t>
      </w:r>
    </w:p>
    <w:p w:rsidR="00A61719" w:rsidRPr="009E05E7" w:rsidRDefault="00A61719" w:rsidP="00A61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1719" w:rsidRPr="00721A5D" w:rsidRDefault="00A61719" w:rsidP="00A617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A61719" w:rsidRPr="00CD3159" w:rsidRDefault="00A61719" w:rsidP="00A6171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1417"/>
        <w:gridCol w:w="1559"/>
        <w:gridCol w:w="1276"/>
        <w:gridCol w:w="992"/>
        <w:gridCol w:w="1134"/>
        <w:gridCol w:w="1134"/>
        <w:gridCol w:w="993"/>
        <w:gridCol w:w="1701"/>
        <w:gridCol w:w="1559"/>
      </w:tblGrid>
      <w:tr w:rsidR="00A61719" w:rsidRPr="000B3E8A" w:rsidTr="00A61719">
        <w:trPr>
          <w:cantSplit/>
          <w:trHeight w:val="24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сацию</w:t>
            </w:r>
            <w:proofErr w:type="spellEnd"/>
            <w:proofErr w:type="gram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по оказанию услуг населению по перевозке пассажирским  транспортом  по тарифам, регулируемым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701946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EA0F3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240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2C312E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 счет местного бюджета- всего 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719" w:rsidRDefault="00A61719" w:rsidP="00A6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  <w:bookmarkStart w:id="13" w:name="_GoBack"/>
      <w:bookmarkEnd w:id="13"/>
    </w:p>
    <w:p w:rsidR="00DF30BD" w:rsidRP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30BD" w:rsidRPr="00DF30BD" w:rsidSect="00A6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B21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9C4"/>
    <w:multiLevelType w:val="hybridMultilevel"/>
    <w:tmpl w:val="E0EAF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76F7"/>
    <w:rsid w:val="00027082"/>
    <w:rsid w:val="00036DD2"/>
    <w:rsid w:val="000B3E8A"/>
    <w:rsid w:val="000B51E3"/>
    <w:rsid w:val="000B68F8"/>
    <w:rsid w:val="00113B54"/>
    <w:rsid w:val="001731F5"/>
    <w:rsid w:val="001D693B"/>
    <w:rsid w:val="002159C8"/>
    <w:rsid w:val="002721E8"/>
    <w:rsid w:val="00290903"/>
    <w:rsid w:val="00296314"/>
    <w:rsid w:val="00296FFD"/>
    <w:rsid w:val="002B0E29"/>
    <w:rsid w:val="0040360B"/>
    <w:rsid w:val="004C16E2"/>
    <w:rsid w:val="00505FEC"/>
    <w:rsid w:val="00520984"/>
    <w:rsid w:val="00540E3F"/>
    <w:rsid w:val="00552F39"/>
    <w:rsid w:val="005579C6"/>
    <w:rsid w:val="005A675F"/>
    <w:rsid w:val="005B14D2"/>
    <w:rsid w:val="005B39F3"/>
    <w:rsid w:val="005C0B1C"/>
    <w:rsid w:val="006B1D3F"/>
    <w:rsid w:val="006F6216"/>
    <w:rsid w:val="00701946"/>
    <w:rsid w:val="00721A5D"/>
    <w:rsid w:val="00731FE7"/>
    <w:rsid w:val="00747C68"/>
    <w:rsid w:val="00782793"/>
    <w:rsid w:val="007D469A"/>
    <w:rsid w:val="007F0231"/>
    <w:rsid w:val="00806462"/>
    <w:rsid w:val="00852B71"/>
    <w:rsid w:val="008878DE"/>
    <w:rsid w:val="00902658"/>
    <w:rsid w:val="00970049"/>
    <w:rsid w:val="00997394"/>
    <w:rsid w:val="009A3BF9"/>
    <w:rsid w:val="009B6211"/>
    <w:rsid w:val="009E05E7"/>
    <w:rsid w:val="00A506CF"/>
    <w:rsid w:val="00A55030"/>
    <w:rsid w:val="00A61719"/>
    <w:rsid w:val="00A816B5"/>
    <w:rsid w:val="00A847E4"/>
    <w:rsid w:val="00AA48F2"/>
    <w:rsid w:val="00AF094A"/>
    <w:rsid w:val="00AF64FE"/>
    <w:rsid w:val="00B02226"/>
    <w:rsid w:val="00B1770A"/>
    <w:rsid w:val="00B70A5C"/>
    <w:rsid w:val="00BD1CD9"/>
    <w:rsid w:val="00C10140"/>
    <w:rsid w:val="00C25465"/>
    <w:rsid w:val="00C820E3"/>
    <w:rsid w:val="00C85E34"/>
    <w:rsid w:val="00CB41A3"/>
    <w:rsid w:val="00CB4C04"/>
    <w:rsid w:val="00CB5DC8"/>
    <w:rsid w:val="00CD3159"/>
    <w:rsid w:val="00CE0F7A"/>
    <w:rsid w:val="00D10129"/>
    <w:rsid w:val="00D45714"/>
    <w:rsid w:val="00D73C28"/>
    <w:rsid w:val="00D96EA1"/>
    <w:rsid w:val="00DF03D8"/>
    <w:rsid w:val="00DF30BD"/>
    <w:rsid w:val="00E20393"/>
    <w:rsid w:val="00E925BE"/>
    <w:rsid w:val="00E9475E"/>
    <w:rsid w:val="00EA0F3A"/>
    <w:rsid w:val="00F24BB5"/>
    <w:rsid w:val="00F60C2A"/>
    <w:rsid w:val="00F62BC4"/>
    <w:rsid w:val="00F677AC"/>
    <w:rsid w:val="00F7211D"/>
    <w:rsid w:val="00FA4F0A"/>
    <w:rsid w:val="00FB6AD5"/>
    <w:rsid w:val="00FD24F3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680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655">
                          <w:marLeft w:val="850"/>
                          <w:marRight w:val="850"/>
                          <w:marTop w:val="1417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605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0&amp;sk=19b125b9a34ab0be5fdb55f70b3b5539&amp;id=91xc-gowli4nf3pp6hriwi4j6foip13dbx5zcvzvgola3alr0qb9sbrusv2uxj4m683eldb95m2knpdfg2ashgdjg40sra4xevwvhel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2B2A-6FC7-41A3-9CD4-03DE1EE9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9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37</cp:revision>
  <cp:lastPrinted>2016-09-08T11:53:00Z</cp:lastPrinted>
  <dcterms:created xsi:type="dcterms:W3CDTF">2016-07-20T13:35:00Z</dcterms:created>
  <dcterms:modified xsi:type="dcterms:W3CDTF">2016-09-08T11:53:00Z</dcterms:modified>
</cp:coreProperties>
</file>